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tbl>
      <w:tblPr>
        <w:tblW w:w="10516" w:type="dxa"/>
        <w:jc w:val="start"/>
        <w:tblInd w:w="-30" w:type="dxa"/>
        <w:tblLayout w:type="fixed"/>
        <w:tblCellMar>
          <w:top w:w="0" w:type="dxa"/>
          <w:start w:w="30" w:type="dxa"/>
          <w:bottom w:w="0" w:type="dxa"/>
          <w:end w:w="30" w:type="dxa"/>
        </w:tblCellMar>
        <w:tblLook w:firstRow="1" w:noVBand="1" w:lastRow="0" w:firstColumn="1" w:lastColumn="0" w:noHBand="0" w:val="04a0"/>
      </w:tblPr>
      <w:tblGrid>
        <w:gridCol w:w="740"/>
        <w:gridCol w:w="2612"/>
        <w:gridCol w:w="3371"/>
        <w:gridCol w:w="1264"/>
        <w:gridCol w:w="1264"/>
        <w:gridCol w:w="1264"/>
      </w:tblGrid>
      <w:tr>
        <w:trPr>
          <w:trHeight w:val="255"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end"/>
              <w:rPr/>
            </w:pPr>
            <w:r>
              <w:rPr/>
              <w:t>Приложение № 2</w:t>
            </w:r>
          </w:p>
        </w:tc>
      </w:tr>
      <w:tr>
        <w:trPr>
          <w:trHeight w:val="255"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end"/>
              <w:rPr/>
            </w:pPr>
            <w:r>
              <w:rPr/>
              <w:t>к решению Думы городского округа</w:t>
            </w:r>
          </w:p>
        </w:tc>
      </w:tr>
      <w:tr>
        <w:trPr>
          <w:trHeight w:val="255"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end"/>
              <w:rPr/>
            </w:pPr>
            <w:r>
              <w:rPr/>
              <w:t>от   18  декабря 2024 г. №37/4</w:t>
            </w:r>
          </w:p>
        </w:tc>
      </w:tr>
      <w:tr>
        <w:trPr>
          <w:trHeight w:val="255"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end"/>
              <w:rPr/>
            </w:pPr>
            <w:r>
              <w:rPr/>
              <w:t>«Об утверждении  бюджета городского</w:t>
            </w:r>
          </w:p>
        </w:tc>
      </w:tr>
      <w:tr>
        <w:trPr>
          <w:trHeight w:val="255"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end"/>
              <w:rPr/>
            </w:pPr>
            <w:r>
              <w:rPr/>
              <w:t>округа ЗАТО Свободный на 2025 год</w:t>
            </w:r>
          </w:p>
        </w:tc>
      </w:tr>
      <w:tr>
        <w:trPr>
          <w:trHeight w:val="255"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end"/>
              <w:rPr/>
            </w:pPr>
            <w:r>
              <w:rPr/>
              <w:t>и плановый период 2026 и 2027 годов»</w:t>
            </w:r>
          </w:p>
        </w:tc>
      </w:tr>
      <w:tr>
        <w:trPr>
          <w:trHeight w:val="222"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7163" w:type="dxa"/>
            <w:gridSpan w:val="4"/>
            <w:tcBorders/>
          </w:tcPr>
          <w:p>
            <w:pPr>
              <w:pStyle w:val="Normal"/>
              <w:widowControl w:val="false"/>
              <w:jc w:val="center"/>
              <w:rPr/>
            </w:pPr>
            <w:r>
              <w:rPr/>
            </w:r>
          </w:p>
        </w:tc>
      </w:tr>
      <w:tr>
        <w:trPr>
          <w:trHeight w:val="300" w:hRule="atLeast"/>
        </w:trPr>
        <w:tc>
          <w:tcPr>
            <w:tcW w:w="740" w:type="dxa"/>
            <w:tcBorders/>
            <w:vAlign w:val="bottom"/>
          </w:tcPr>
          <w:p>
            <w:pPr>
              <w:pStyle w:val="Normal"/>
              <w:widowControl w:val="false"/>
              <w:rPr/>
            </w:pPr>
            <w:r>
              <w:rPr/>
            </w:r>
          </w:p>
        </w:tc>
        <w:tc>
          <w:tcPr>
            <w:tcW w:w="2612" w:type="dxa"/>
            <w:tcBorders/>
          </w:tcPr>
          <w:p>
            <w:pPr>
              <w:pStyle w:val="Normal"/>
              <w:widowControl w:val="false"/>
              <w:rPr>
                <w:b/>
                <w:b/>
              </w:rPr>
            </w:pPr>
            <w:r>
              <w:rPr>
                <w:b/>
              </w:rPr>
            </w:r>
          </w:p>
        </w:tc>
        <w:tc>
          <w:tcPr>
            <w:tcW w:w="3371" w:type="dxa"/>
            <w:tcBorders/>
          </w:tcPr>
          <w:p>
            <w:pPr>
              <w:pStyle w:val="Normal"/>
              <w:widowControl w:val="false"/>
              <w:jc w:val="end"/>
              <w:rPr/>
            </w:pPr>
            <w:r>
              <w:rPr/>
            </w:r>
          </w:p>
        </w:tc>
        <w:tc>
          <w:tcPr>
            <w:tcW w:w="1264" w:type="dxa"/>
            <w:tcBorders/>
            <w:vAlign w:val="bottom"/>
          </w:tcPr>
          <w:p>
            <w:pPr>
              <w:pStyle w:val="Normal"/>
              <w:widowControl w:val="false"/>
              <w:jc w:val="end"/>
              <w:rPr/>
            </w:pPr>
            <w:r>
              <w:rPr/>
            </w:r>
          </w:p>
        </w:tc>
        <w:tc>
          <w:tcPr>
            <w:tcW w:w="1264" w:type="dxa"/>
            <w:tcBorders/>
          </w:tcPr>
          <w:p>
            <w:pPr>
              <w:pStyle w:val="Normal"/>
              <w:widowControl w:val="false"/>
              <w:rPr/>
            </w:pPr>
            <w:r>
              <w:rPr/>
            </w:r>
          </w:p>
        </w:tc>
        <w:tc>
          <w:tcPr>
            <w:tcW w:w="1264" w:type="dxa"/>
            <w:tcBorders/>
            <w:vAlign w:val="bottom"/>
          </w:tcPr>
          <w:p>
            <w:pPr>
              <w:pStyle w:val="Normal"/>
              <w:widowControl w:val="false"/>
              <w:jc w:val="end"/>
              <w:rPr>
                <w:sz w:val="16"/>
                <w:szCs w:val="16"/>
              </w:rPr>
            </w:pPr>
            <w:r>
              <w:rPr>
                <w:sz w:val="16"/>
                <w:szCs w:val="16"/>
              </w:rPr>
              <w:t>(ред. 24.</w:t>
            </w:r>
            <w:r>
              <w:rPr>
                <w:sz w:val="16"/>
                <w:szCs w:val="16"/>
              </w:rPr>
              <w:t>10</w:t>
            </w:r>
            <w:r>
              <w:rPr>
                <w:sz w:val="16"/>
                <w:szCs w:val="16"/>
              </w:rPr>
              <w:t>.2025)</w:t>
            </w:r>
          </w:p>
        </w:tc>
      </w:tr>
      <w:tr>
        <w:trPr>
          <w:trHeight w:val="345" w:hRule="atLeast"/>
        </w:trPr>
        <w:tc>
          <w:tcPr>
            <w:tcW w:w="10515" w:type="dxa"/>
            <w:gridSpan w:val="6"/>
            <w:tcBorders/>
            <w:vAlign w:val="center"/>
          </w:tcPr>
          <w:p>
            <w:pPr>
              <w:pStyle w:val="Normal"/>
              <w:widowControl w:val="false"/>
              <w:jc w:val="center"/>
              <w:rPr/>
            </w:pPr>
            <w:r>
              <w:rPr>
                <w:b/>
              </w:rPr>
              <w:t>СВОД ДОХОДОВ</w:t>
            </w:r>
          </w:p>
        </w:tc>
      </w:tr>
      <w:tr>
        <w:trPr>
          <w:trHeight w:val="435" w:hRule="atLeast"/>
        </w:trPr>
        <w:tc>
          <w:tcPr>
            <w:tcW w:w="10515" w:type="dxa"/>
            <w:gridSpan w:val="6"/>
            <w:tcBorders/>
            <w:vAlign w:val="center"/>
          </w:tcPr>
          <w:p>
            <w:pPr>
              <w:pStyle w:val="Normal"/>
              <w:widowControl w:val="false"/>
              <w:jc w:val="center"/>
              <w:rPr/>
            </w:pPr>
            <w:r>
              <w:rPr>
                <w:b/>
              </w:rPr>
              <w:t>БЮДЖЕТА ГОРОДСКОГО ОКРУГА ЗАТО СВОБОДНЫЙ НА 2025-2027 ГОДЫ</w:t>
            </w:r>
          </w:p>
        </w:tc>
      </w:tr>
      <w:tr>
        <w:trPr>
          <w:trHeight w:val="375" w:hRule="atLeast"/>
        </w:trPr>
        <w:tc>
          <w:tcPr>
            <w:tcW w:w="10515" w:type="dxa"/>
            <w:gridSpan w:val="6"/>
            <w:tcBorders/>
            <w:vAlign w:val="center"/>
          </w:tcPr>
          <w:p>
            <w:pPr>
              <w:pStyle w:val="Normal"/>
              <w:widowControl w:val="false"/>
              <w:jc w:val="center"/>
              <w:rPr/>
            </w:pPr>
            <w:r>
              <w:rPr>
                <w:b/>
              </w:rPr>
              <w:t>ПО КОДАМ КЛАССИФИКАЦИИ ДОХОДОВ БЮДЖЕТОВ</w:t>
            </w:r>
          </w:p>
        </w:tc>
      </w:tr>
      <w:tr>
        <w:trPr>
          <w:trHeight w:val="375" w:hRule="atLeast"/>
        </w:trPr>
        <w:tc>
          <w:tcPr>
            <w:tcW w:w="740" w:type="dxa"/>
            <w:tcBorders>
              <w:bottom w:val="single" w:sz="4" w:space="0" w:color="000000"/>
            </w:tcBorders>
            <w:vAlign w:val="bottom"/>
          </w:tcPr>
          <w:p>
            <w:pPr>
              <w:pStyle w:val="Normal"/>
              <w:widowControl w:val="false"/>
              <w:jc w:val="center"/>
              <w:rPr>
                <w:b/>
                <w:b/>
              </w:rPr>
            </w:pPr>
            <w:r>
              <w:rPr>
                <w:b/>
              </w:rPr>
            </w:r>
          </w:p>
        </w:tc>
        <w:tc>
          <w:tcPr>
            <w:tcW w:w="2612" w:type="dxa"/>
            <w:tcBorders>
              <w:bottom w:val="single" w:sz="4" w:space="0" w:color="000000"/>
            </w:tcBorders>
          </w:tcPr>
          <w:p>
            <w:pPr>
              <w:pStyle w:val="Normal"/>
              <w:widowControl w:val="false"/>
              <w:jc w:val="center"/>
              <w:rPr>
                <w:b/>
                <w:b/>
              </w:rPr>
            </w:pPr>
            <w:r>
              <w:rPr>
                <w:b/>
              </w:rPr>
            </w:r>
          </w:p>
        </w:tc>
        <w:tc>
          <w:tcPr>
            <w:tcW w:w="3371" w:type="dxa"/>
            <w:tcBorders>
              <w:bottom w:val="single" w:sz="4" w:space="0" w:color="000000"/>
            </w:tcBorders>
          </w:tcPr>
          <w:p>
            <w:pPr>
              <w:pStyle w:val="Normal"/>
              <w:widowControl w:val="false"/>
              <w:jc w:val="center"/>
              <w:rPr/>
            </w:pPr>
            <w:r>
              <w:rPr/>
            </w:r>
          </w:p>
        </w:tc>
        <w:tc>
          <w:tcPr>
            <w:tcW w:w="1264" w:type="dxa"/>
            <w:tcBorders>
              <w:bottom w:val="single" w:sz="4" w:space="0" w:color="000000"/>
            </w:tcBorders>
            <w:vAlign w:val="bottom"/>
          </w:tcPr>
          <w:p>
            <w:pPr>
              <w:pStyle w:val="Normal"/>
              <w:widowControl w:val="false"/>
              <w:rPr/>
            </w:pPr>
            <w:r>
              <w:rPr/>
            </w:r>
          </w:p>
        </w:tc>
        <w:tc>
          <w:tcPr>
            <w:tcW w:w="1264" w:type="dxa"/>
            <w:tcBorders>
              <w:bottom w:val="single" w:sz="4" w:space="0" w:color="000000"/>
            </w:tcBorders>
            <w:vAlign w:val="bottom"/>
          </w:tcPr>
          <w:p>
            <w:pPr>
              <w:pStyle w:val="Normal"/>
              <w:widowControl w:val="false"/>
              <w:rPr/>
            </w:pPr>
            <w:r>
              <w:rPr/>
            </w:r>
          </w:p>
        </w:tc>
        <w:tc>
          <w:tcPr>
            <w:tcW w:w="1264" w:type="dxa"/>
            <w:tcBorders>
              <w:bottom w:val="single" w:sz="4" w:space="0" w:color="000000"/>
            </w:tcBorders>
            <w:vAlign w:val="bottom"/>
          </w:tcPr>
          <w:p>
            <w:pPr>
              <w:pStyle w:val="Normal"/>
              <w:widowControl w:val="false"/>
              <w:jc w:val="center"/>
              <w:rPr/>
            </w:pPr>
            <w:r>
              <w:rPr/>
              <w:t>тыс. руб.</w:t>
            </w:r>
          </w:p>
        </w:tc>
      </w:tr>
      <w:tr>
        <w:trPr>
          <w:trHeight w:val="81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sz w:val="21"/>
                <w:szCs w:val="21"/>
              </w:rPr>
            </w:pPr>
            <w:r>
              <w:rPr>
                <w:rFonts w:ascii="Times New Roman" w:hAnsi="Times New Roman"/>
                <w:b/>
                <w:sz w:val="21"/>
                <w:szCs w:val="21"/>
              </w:rPr>
              <w:t>Номер строки</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Код классификации доходов бюджета</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Наименование доходов бюджета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2025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2026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2027</w:t>
            </w:r>
          </w:p>
        </w:tc>
      </w:tr>
      <w:tr>
        <w:trPr>
          <w:trHeight w:val="25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w:t>
            </w:r>
          </w:p>
        </w:tc>
      </w:tr>
      <w:tr>
        <w:trPr>
          <w:trHeight w:val="52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000 1 00 00000 00 0000 000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НАЛОГОВЫЕ И НЕНАЛОГОВЫЕ ДОХОДЫ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377 898,9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378 735,9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397 819,6</w:t>
            </w:r>
          </w:p>
        </w:tc>
      </w:tr>
      <w:tr>
        <w:trPr>
          <w:trHeight w:val="40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000 1 01 00000 00 0000 000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rPr>
            </w:pPr>
            <w:r>
              <w:rPr>
                <w:rFonts w:ascii="Times New Roman" w:hAnsi="Times New Roman"/>
                <w:b/>
              </w:rPr>
              <w:t>НАЛОГИ НА ПРИБЫЛЬ, ДОХОДЫ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346 500,0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349 600,0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366 600,0</w:t>
            </w:r>
          </w:p>
        </w:tc>
      </w:tr>
      <w:tr>
        <w:trPr>
          <w:trHeight w:val="42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182 1 01 02000 01 0000 110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rPr>
            </w:pPr>
            <w:r>
              <w:rPr>
                <w:rFonts w:ascii="Times New Roman" w:hAnsi="Times New Roman"/>
                <w:b/>
              </w:rPr>
              <w:t>Налог на доходы физических лиц</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346 500,0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349 600,0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366 600,0</w:t>
            </w:r>
          </w:p>
        </w:tc>
      </w:tr>
      <w:tr>
        <w:trPr>
          <w:trHeight w:val="512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182 1 01 02010 01 0000 110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328 075,0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348 130,0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365 075,0</w:t>
            </w:r>
          </w:p>
        </w:tc>
      </w:tr>
      <w:tr>
        <w:trPr>
          <w:trHeight w:val="355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182 1 01 02020 01 0000 110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305,0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315,0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327,0</w:t>
            </w:r>
          </w:p>
        </w:tc>
      </w:tr>
      <w:tr>
        <w:trPr>
          <w:trHeight w:val="318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182 1 01 02030 01 0000 110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1 120,0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1 155,0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1 198,0</w:t>
            </w:r>
          </w:p>
        </w:tc>
      </w:tr>
      <w:tr>
        <w:trPr>
          <w:trHeight w:val="93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182 1 01 02210 01 0000 110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17 000,0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76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000 1 03 00000 00 0000 000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НАЛОГИ НА ТОВАРЫ (РАБОТЫ, УСЛУГИ), РЕАЛИЗУЕМЫЕ НА ТЕРРИТОРИИ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1 998,7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2 103,4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2 773,6</w:t>
            </w:r>
          </w:p>
        </w:tc>
      </w:tr>
      <w:tr>
        <w:trPr>
          <w:trHeight w:val="119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182 1 03 02000 01 0000 110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Акцизы по подакцизным товарам (продукции), производимым на территории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1 998,7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2 103,4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2 773,6</w:t>
            </w:r>
          </w:p>
        </w:tc>
      </w:tr>
      <w:tr>
        <w:trPr>
          <w:trHeight w:val="301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182 1 03 02231 01 0000 110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1 045,4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1 101,2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1 449,9</w:t>
            </w:r>
          </w:p>
        </w:tc>
      </w:tr>
      <w:tr>
        <w:trPr>
          <w:trHeight w:val="260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182 1 03 02241 01 0000 110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6,7</w:t>
            </w:r>
          </w:p>
        </w:tc>
      </w:tr>
      <w:tr>
        <w:trPr>
          <w:trHeight w:val="259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182 1 03 02251 01 0000 110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1 055,7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1 106,6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1 455,8</w:t>
            </w:r>
          </w:p>
        </w:tc>
      </w:tr>
      <w:tr>
        <w:trPr>
          <w:trHeight w:val="42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182 1 03 02261 01 0000 110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-107,1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-109,5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-138,8</w:t>
            </w:r>
          </w:p>
        </w:tc>
      </w:tr>
      <w:tr>
        <w:trPr>
          <w:trHeight w:val="75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000 1 05 00000 00 0000 000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color w:val="000000"/>
              </w:rPr>
            </w:pPr>
            <w:r>
              <w:rPr>
                <w:rFonts w:ascii="Times New Roman" w:hAnsi="Times New Roman"/>
                <w:b/>
                <w:color w:val="000000"/>
              </w:rPr>
              <w:t>НАЛОГИ НА СОВОКУПНЫЙ ДОХОД</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color w:val="000000"/>
              </w:rPr>
            </w:pPr>
            <w:r>
              <w:rPr>
                <w:rFonts w:ascii="Times New Roman" w:hAnsi="Times New Roman"/>
                <w:b/>
                <w:color w:val="000000"/>
              </w:rPr>
              <w:t>4 633,6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color w:val="000000"/>
              </w:rPr>
            </w:pPr>
            <w:r>
              <w:rPr>
                <w:rFonts w:ascii="Times New Roman" w:hAnsi="Times New Roman"/>
                <w:b/>
                <w:color w:val="000000"/>
              </w:rPr>
              <w:t>5 088,0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color w:val="000000"/>
              </w:rPr>
            </w:pPr>
            <w:r>
              <w:rPr>
                <w:rFonts w:ascii="Times New Roman" w:hAnsi="Times New Roman"/>
                <w:b/>
                <w:color w:val="000000"/>
              </w:rPr>
              <w:t>5 663,0</w:t>
            </w:r>
          </w:p>
        </w:tc>
      </w:tr>
      <w:tr>
        <w:trPr>
          <w:trHeight w:val="119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182 1 05 01011 01 0000 110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Налог, взимаемый с налогоплательщиков, выбравших в качестве объекта налогообложения доходы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986,0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1 104,0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1 243,0</w:t>
            </w:r>
          </w:p>
        </w:tc>
      </w:tr>
      <w:tr>
        <w:trPr>
          <w:trHeight w:val="52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182 1 05 01021 01 0000 110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2 911,0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3 260,0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3 667,0</w:t>
            </w:r>
          </w:p>
        </w:tc>
      </w:tr>
      <w:tr>
        <w:trPr>
          <w:trHeight w:val="69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182 1 05 03010 01 0000 110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Единый сельскохозяйственный налог</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40,6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r>
      <w:tr>
        <w:trPr>
          <w:trHeight w:val="43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182 1 05 04010 02 0000 110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Налог, взимаемый в связи с применением патентной системы налогообложения, зачисляемый в бюджеты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696,0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724,0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753,0</w:t>
            </w:r>
          </w:p>
        </w:tc>
      </w:tr>
      <w:tr>
        <w:trPr>
          <w:trHeight w:val="51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000 1 06 00000 00 0000 000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НАЛОГИ НА ИМУЩЕСТВО</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975,0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990,0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1 005,0</w:t>
            </w:r>
          </w:p>
        </w:tc>
      </w:tr>
      <w:tr>
        <w:trPr>
          <w:trHeight w:val="736"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182 1 06 01000 00 0000 110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Налог на имущество физических лиц</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680,0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695,0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710,0</w:t>
            </w:r>
          </w:p>
        </w:tc>
      </w:tr>
      <w:tr>
        <w:trPr>
          <w:trHeight w:val="29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182 1 06 01020 04 0000 110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680,0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695,0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710,0</w:t>
            </w:r>
          </w:p>
        </w:tc>
      </w:tr>
      <w:tr>
        <w:trPr>
          <w:trHeight w:val="53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000 1 06 06000 00 0000 110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Земельный налог</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295,0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295,0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295,0</w:t>
            </w:r>
          </w:p>
        </w:tc>
      </w:tr>
      <w:tr>
        <w:trPr>
          <w:trHeight w:val="37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182 1 06 06032 04 0000 110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Земельный налог с организаций, обладающих земельным участком, расположенным в границах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295,0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295,0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295,0</w:t>
            </w:r>
          </w:p>
        </w:tc>
      </w:tr>
      <w:tr>
        <w:trPr>
          <w:trHeight w:val="57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sz w:val="22"/>
                <w:szCs w:val="22"/>
              </w:rPr>
            </w:pPr>
            <w:r>
              <w:rPr>
                <w:rFonts w:ascii="Times New Roman" w:hAnsi="Times New Roman"/>
                <w:b/>
                <w:sz w:val="22"/>
                <w:szCs w:val="22"/>
              </w:rPr>
              <w:t>000 1 08 00000 00 0000 000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rPr>
            </w:pPr>
            <w:r>
              <w:rPr>
                <w:rFonts w:ascii="Times New Roman" w:hAnsi="Times New Roman"/>
                <w:b/>
              </w:rPr>
              <w:t>ГОСУДАРСТВЕННАЯ ПОШЛИНА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38,4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32,0</w:t>
            </w:r>
          </w:p>
        </w:tc>
      </w:tr>
      <w:tr>
        <w:trPr>
          <w:trHeight w:val="123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sz w:val="22"/>
                <w:szCs w:val="22"/>
              </w:rPr>
            </w:pPr>
            <w:r>
              <w:rPr>
                <w:rFonts w:ascii="Times New Roman" w:hAnsi="Times New Roman"/>
                <w:b/>
                <w:sz w:val="22"/>
                <w:szCs w:val="22"/>
              </w:rPr>
              <w:t>182 1 08 03000 01 0000 110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rPr>
            </w:pPr>
            <w:r>
              <w:rPr>
                <w:rFonts w:ascii="Times New Roman" w:hAnsi="Times New Roman"/>
                <w:b/>
              </w:rPr>
              <w:t>Государственная пошлина по делам, рассматриваемым в судах общей юрисдикции, мировыми судьями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38,4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32,0</w:t>
            </w:r>
          </w:p>
        </w:tc>
      </w:tr>
      <w:tr>
        <w:trPr>
          <w:trHeight w:val="108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182 1 08 03010 01 1050 110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38,40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32,0</w:t>
            </w:r>
          </w:p>
        </w:tc>
      </w:tr>
      <w:tr>
        <w:trPr>
          <w:trHeight w:val="156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000 1 11 00000 00 0000 000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ДОХОДЫ ОТ ИСПОЛЬЗОВАНИЯ ИМУЩЕСТВА, НАХОДЯЩЕГОСЯ В ГОСУДАРСТВЕННОЙ И МУНИЦИПАЛЬНОЙ СОБСТВЕННОСТИ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22 771,7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20 562,5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21 385,0</w:t>
            </w:r>
          </w:p>
        </w:tc>
      </w:tr>
      <w:tr>
        <w:trPr>
          <w:trHeight w:val="115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901 1 11 05074 04 0003 120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сдачи в аренду имущества, составляющего казну городских округов (за исключением земельных участков) (доходы от сдачи в аренду объектов нежилого фонда и не являющихся памятниками истории, культуры и градостроительства)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4 733,0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4 922,3</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5 119,2</w:t>
            </w:r>
          </w:p>
        </w:tc>
      </w:tr>
      <w:tr>
        <w:trPr>
          <w:trHeight w:val="114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901 1 11 05074 04 0009 120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сдачи в аренду имущества, составляющего казну городских округов (за исключением земельных участков) (прочие доходы от сдачи в аренду имущества )</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891"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901 1 11 05074 04 0010 120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сдачи в аренду имущества, составляющего казну городских округов (за исключением земельных участков) (доходы от сдачи в аренду движимого имущества)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52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901 1 11 09044 04 0004 120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за пользование жилыми помещениями (плата за наём) муниципального жилищного фонда)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18 038,7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15 640,2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16 265,8</w:t>
            </w:r>
          </w:p>
        </w:tc>
      </w:tr>
      <w:tr>
        <w:trPr>
          <w:trHeight w:val="70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000 1 12 00000 00 0000 000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ПЛАТЕЖИ ПРИ ПОЛЬЗОВАНИИ ПРИРОДНЫМИ РЕСУРСАМИ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1,0</w:t>
            </w:r>
          </w:p>
        </w:tc>
      </w:tr>
      <w:tr>
        <w:trPr>
          <w:trHeight w:val="73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000 1 12 01000 01 0000 120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ПЛАТА ЗА НЕГАТИВНОЕ ВОЗДЕЙСТВИЕ НА ОКРУЖАЮЩУЮ СРЕДУ</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1,0</w:t>
            </w:r>
          </w:p>
        </w:tc>
      </w:tr>
      <w:tr>
        <w:trPr>
          <w:trHeight w:val="50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048 1 12 01010 01 0000 120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Плата за выбросы загрязняющих веществ в атмосферный воздух стационарными объектами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w:t>
            </w:r>
          </w:p>
        </w:tc>
      </w:tr>
      <w:tr>
        <w:trPr>
          <w:trHeight w:val="52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048 1 12 01030 01 0000 120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Плата за сбросы загрязняющих веществ в водные объекты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74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048 1 12 01041 01 0000 120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Плата за размещение отходов производства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19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000 1 13 00000 00 0000 000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ДОХОДЫ ОТ ОКАЗАНИЯ ПЛАТНЫХ УСЛУГ И КОМПЕНСАЦИИ ЗАТРАТ ГОСУДАРСТВА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369,2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300,0</w:t>
            </w:r>
          </w:p>
        </w:tc>
      </w:tr>
      <w:tr>
        <w:trPr>
          <w:trHeight w:val="131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901 1 13 01994 04 0004 130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доходы от оказания платных услуг (работ) получателями средств бюджетов городских округов (прочие платные услуги, оказываемые казенными муниципальными учреждениями)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342,9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300,0</w:t>
            </w:r>
          </w:p>
        </w:tc>
      </w:tr>
      <w:tr>
        <w:trPr>
          <w:trHeight w:val="96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901 1 13 02994 04 0006 130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доходы от компенсации затрат бюджетов городских округов (возврат бюджетных средств в связи с невыполнением муниципального задания бюджетными и автономными учреждениями)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72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901 1 13 02994 04 0001 130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доходы от компенсации затрат бюджетов городских округов (в части возврата дебиторской задолженности прошлых лет)</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26,3</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23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000 1 14 00000 00 0000 000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ДОХОДЫ ОТ ПРОДАЖИ МАТЕРИАЛЬНЫХ И НЕМАТЕРИАЛЬНЫХ АКТИВОВ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r>
      <w:tr>
        <w:trPr>
          <w:trHeight w:val="198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901 1 14 02043 04 0001 410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95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901 1 14 02043 04 0002 410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48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901 1 14 02043 04 0000 440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67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000 1 16 00000 00 0000 000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ШТРАФЫ, САНКЦИИ, ВОЗМЕЩЕНИЕ УЩЕРБА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400,0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60,0</w:t>
            </w:r>
          </w:p>
        </w:tc>
      </w:tr>
      <w:tr>
        <w:trPr>
          <w:trHeight w:val="132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019 1 16 01203 01 0000 140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77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901 1 16 02020 02 0000 140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53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901 1 16 07010 04 0000 140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w:t>
            </w:r>
          </w:p>
        </w:tc>
      </w:tr>
      <w:tr>
        <w:trPr>
          <w:trHeight w:val="122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901 1 16 07090 04 0000 140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9,3</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w:t>
            </w:r>
          </w:p>
        </w:tc>
      </w:tr>
      <w:tr>
        <w:trPr>
          <w:trHeight w:val="161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901 1 16 10031 04 0000 140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18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901 1 16 10032 04 0000 140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18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901 1 16 10100 04 0000 140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50,0</w:t>
            </w:r>
          </w:p>
        </w:tc>
      </w:tr>
      <w:tr>
        <w:trPr>
          <w:trHeight w:val="153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913 1 16 10100 04 0000 140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152,2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47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901 1 16 11064 01 0000 140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48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901 1 16 02020 02 0000 140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65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sz w:val="22"/>
                <w:szCs w:val="22"/>
              </w:rPr>
            </w:pPr>
            <w:r>
              <w:rPr>
                <w:rFonts w:ascii="Times New Roman" w:hAnsi="Times New Roman"/>
                <w:b/>
                <w:sz w:val="22"/>
                <w:szCs w:val="22"/>
              </w:rPr>
              <w:t>000 1 17 00000 00 0000 000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ПРОЧИЕ НЕНАЛОГОВЫЕ ДОХОДЫ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color w:val="000000"/>
              </w:rPr>
            </w:pPr>
            <w:r>
              <w:rPr>
                <w:rFonts w:ascii="Times New Roman" w:hAnsi="Times New Roman"/>
                <w:b/>
                <w:color w:val="000000"/>
              </w:rPr>
              <w:t>197,30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color w:val="000000"/>
              </w:rPr>
            </w:pPr>
            <w:r>
              <w:rPr>
                <w:rFonts w:ascii="Times New Roman" w:hAnsi="Times New Roman"/>
                <w:b/>
                <w:color w:val="000000"/>
              </w:rPr>
              <w:t>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color w:val="000000"/>
              </w:rPr>
            </w:pPr>
            <w:r>
              <w:rPr>
                <w:rFonts w:ascii="Times New Roman" w:hAnsi="Times New Roman"/>
                <w:b/>
                <w:color w:val="000000"/>
              </w:rPr>
              <w:t>0,00</w:t>
            </w:r>
          </w:p>
        </w:tc>
      </w:tr>
      <w:tr>
        <w:trPr>
          <w:trHeight w:val="40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901 1 17 15020 04 0000 150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Инициативные платежи, зачисляемые в бюджеты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197,30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r>
      <w:tr>
        <w:trPr>
          <w:trHeight w:val="526"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000 2 00 00000 00 0000 000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БЕЗВОЗМЕЗДНЫЕ ПОСТУПЛЕНИЯ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608 695,8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450 651,6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441 077,9</w:t>
            </w:r>
          </w:p>
        </w:tc>
      </w:tr>
      <w:tr>
        <w:trPr>
          <w:trHeight w:val="102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000 2 02 00000 00 0000 150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Дотации бюджетам субъектов Российской Федерации и муниципальных образований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325 735,5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171 770,0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143 602,0</w:t>
            </w:r>
          </w:p>
        </w:tc>
      </w:tr>
      <w:tr>
        <w:trPr>
          <w:trHeight w:val="76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919 2 02 15001 04 0000 150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Дотации бюджетам городских округов на выравнивание бюджетной обеспеченности из бюджета субъекта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186 819,0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15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919 2 02 15002 04 0000 150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Дотации бюджетам городских округов на поддержку мер по обеспечению сбалансированности бюджетов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127 772,0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171 770,0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143 602,0</w:t>
            </w:r>
          </w:p>
        </w:tc>
      </w:tr>
      <w:tr>
        <w:trPr>
          <w:trHeight w:val="99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919 2 02 15010 04 0000 150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Дотации бюджетам городских округов, связанные с особым режимом безопасного функционирования закрытых административно-территориальных образований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r>
      <w:tr>
        <w:trPr>
          <w:trHeight w:val="93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901 2 02 16549 04 0000 150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rPr>
            </w:pPr>
            <w:r>
              <w:rPr>
                <w:rFonts w:ascii="Times New Roman" w:hAnsi="Times New Roman"/>
                <w:color w:val="000000"/>
              </w:rPr>
              <w:t>Дотации (гранты) бюджетам городских округов за достижение показателей деятельности органов местного самоуправления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11 144,50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0,0</w:t>
            </w:r>
          </w:p>
        </w:tc>
      </w:tr>
      <w:tr>
        <w:trPr>
          <w:trHeight w:val="118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000 202 00000 00 0000 150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Субсидии бюджетам субъектов Российской Федерации и муниципальных образований (межбюджетные субсидии)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17 113,2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6 602,0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6 866,5</w:t>
            </w:r>
          </w:p>
        </w:tc>
      </w:tr>
      <w:tr>
        <w:trPr>
          <w:trHeight w:val="118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(субсидии на осуществление мероприятий по обеспечению питанием обучающихся в муниципальных общеобразовательных учреждениях)</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3 211,0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3 339,0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3 473,0</w:t>
            </w:r>
          </w:p>
        </w:tc>
      </w:tr>
      <w:tr>
        <w:trPr>
          <w:trHeight w:val="119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(субсидии на создание в муниципальных общеобразовательных организациях условий для организации горячего питания обучающихся)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377,4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12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(субсидии на создание в образовательных организациях условий для получения детьми-инвалидами качественного образования)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491,1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05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(субсидия на организацию военно-патриотического воспитания и допризывной подготовки молодых граждан)</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180,7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35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(субсидия на создание и обеспечение деятельности молодёжных «коворкинг-центров»)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54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(субсидия на реализацию мероприятий по поэтапному внедрению Всероссийского физкультурно-спортивного комплекса "Готов к труду и обороне" (ГТО))</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138,7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22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(субсидии на осуществление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3 137,4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3 263,0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3 393,5</w:t>
            </w:r>
          </w:p>
        </w:tc>
      </w:tr>
      <w:tr>
        <w:trPr>
          <w:trHeight w:val="170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Прочие субсидии бюджетам городских округов (Реализация муниципальных программ по энергосбережению и повышению энергетической эффективности)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6 520,3</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60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773,40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91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(Обеспечение осуществления оплаты труда работников муниципальных организаций дополнительного образования и муниципальных образовательных организаций высшего образования с учетом установленных указами Президента Российской Федерации показателей соотношения заработной платы для данной категории работников )</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529,70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77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субсидии бюджетам городских округов (субсидии на внедрение механизмов инициативного бюджетирования на территории Свердловской области)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110,0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22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901 2 02 25497 04 0000 150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Субсидии бюджетам на реализацию мероприятий по обеспечению жильем молодых семей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1 588,4</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81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901 2 02 25519 04 0000 150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Субсидии бюджетам городских округов на поддержку отрасли культуры (субсидия на модернизацию библиотек в части комплектования книжных фондов на условиях софинансирования из федерального бюджета)</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55,1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31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000 2 02 00000 00 0000 150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Субвенции бюджетам субъектов Российской Федерации и муниципальных образований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25</w:t>
            </w:r>
            <w:r>
              <w:rPr>
                <w:rFonts w:ascii="Times New Roman" w:hAnsi="Times New Roman"/>
                <w:b/>
              </w:rPr>
              <w:t>1 118,9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266 613,7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285 157,2</w:t>
            </w:r>
          </w:p>
        </w:tc>
      </w:tr>
      <w:tr>
        <w:trPr>
          <w:trHeight w:val="72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901 2 02 30022 04 0000 150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по предоставлению гражданам субсидий на оплату жилого помещения и коммунальных услуг</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488,7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508,2</w:t>
            </w:r>
          </w:p>
        </w:tc>
      </w:tr>
      <w:tr>
        <w:trPr>
          <w:trHeight w:val="93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выполнение передаваемых полномочий субъектов Российской Федерации (субвенции на осуществление государственного полномочия Свердловской области по созданию административных комиссий)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125,8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130,8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136,0</w:t>
            </w:r>
          </w:p>
        </w:tc>
      </w:tr>
      <w:tr>
        <w:trPr>
          <w:trHeight w:val="151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выполнение передаваемых полномочий субъектов Российской Федерации (Субвенции на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22 401,9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23 298,0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24 229,9</w:t>
            </w:r>
          </w:p>
        </w:tc>
      </w:tr>
      <w:tr>
        <w:trPr>
          <w:trHeight w:val="214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выполнение передаваемых полномочий субъектов Российской Федерации (Субвенции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0,2</w:t>
            </w:r>
          </w:p>
        </w:tc>
      </w:tr>
      <w:tr>
        <w:trPr>
          <w:trHeight w:val="238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выполнение передаваемых полномочий субъектов Российской Федерации (Субвенции на осуществление государственного полномочия Свердловской области по предоставлению гражданам, проживающим на территории Свердловской области, меры социальной поддержки по частичному освобождению от платы за коммунальные услуги)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278,0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278,0</w:t>
            </w:r>
          </w:p>
        </w:tc>
      </w:tr>
      <w:tr>
        <w:trPr>
          <w:trHeight w:val="260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выполнение передаваемых полномочий субъектов Российской Федерации (Субвенции на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182,2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182,2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182,2</w:t>
            </w:r>
          </w:p>
        </w:tc>
      </w:tr>
      <w:tr>
        <w:trPr>
          <w:trHeight w:val="213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на осуществление государственных полномочий Свердловской области по организации и обеспечению отдыха и оздоровления детей (за исключением детей-сирот и детей, оставшихся без попечения родителей, детей, находящихся в трудной жизненной ситуации) в учебное время, включая мероприятия по обеспечению безопасности их жизни и здоровья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384,8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400,2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416,2</w:t>
            </w:r>
          </w:p>
        </w:tc>
      </w:tr>
      <w:tr>
        <w:trPr>
          <w:trHeight w:val="234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901 2 02 30024 04 0000 150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выполнение передаваемых полномочий субъектов Российской Федерации (Субвенции на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4,1</w:t>
            </w:r>
          </w:p>
        </w:tc>
      </w:tr>
      <w:tr>
        <w:trPr>
          <w:trHeight w:val="213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субвенции бюджетам городских округов (Субвенции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120 729,0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132 142,0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141 925,0</w:t>
            </w:r>
          </w:p>
        </w:tc>
      </w:tr>
      <w:tr>
        <w:trPr>
          <w:trHeight w:val="252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субвенции бюджетам городских округов (Субвенции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103 701,0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107 171,0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114 958,0</w:t>
            </w:r>
          </w:p>
        </w:tc>
      </w:tr>
      <w:tr>
        <w:trPr>
          <w:trHeight w:val="176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901 2 02 35118 04 0000 150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474,7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514,5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532,5</w:t>
            </w:r>
          </w:p>
        </w:tc>
      </w:tr>
      <w:tr>
        <w:trPr>
          <w:trHeight w:val="94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901 2 02 35120 04 0000 150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осуществление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24,6</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4,8</w:t>
            </w:r>
          </w:p>
        </w:tc>
      </w:tr>
      <w:tr>
        <w:trPr>
          <w:trHeight w:val="158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901 2 02 35250 04 0000 150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по предоставлению отдельным категориям граждан мер социальной поддержки по оплате жилого помещения и коммунальных услуг</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2 691,1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1 957,2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1 957,2</w:t>
            </w:r>
          </w:p>
        </w:tc>
      </w:tr>
      <w:tr>
        <w:trPr>
          <w:trHeight w:val="120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901 2 02 35462 04 0000 150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19,5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22,2</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24,9</w:t>
            </w:r>
          </w:p>
        </w:tc>
      </w:tr>
      <w:tr>
        <w:trPr>
          <w:trHeight w:val="679"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sz w:val="22"/>
                <w:szCs w:val="22"/>
              </w:rPr>
            </w:pPr>
            <w:r>
              <w:rPr>
                <w:rFonts w:ascii="Times New Roman" w:hAnsi="Times New Roman"/>
                <w:b/>
                <w:sz w:val="22"/>
                <w:szCs w:val="22"/>
              </w:rPr>
              <w:t>000 2 02 40000 00 0000 150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Иные межбюджетные трансферты</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13 095,8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5 665,9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5 452,2</w:t>
            </w:r>
          </w:p>
        </w:tc>
      </w:tr>
      <w:tr>
        <w:trPr>
          <w:trHeight w:val="29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901 2 02 45303 04 0000 150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7 905,8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53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901 2 02 49999 04 0000 150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Прочие межбюджетные трансферты, передаваемые бюджетам городских округов (для оплаты дополнительной меры социальной поддержки в виде единовременной выплаты семье гражданина, убывшего для прохождения военной службы через Военный комиссариат Свердловской области или пункт отбора на военную службу по контракту)</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207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sz w:val="22"/>
                <w:szCs w:val="22"/>
              </w:rPr>
            </w:pPr>
            <w:r>
              <w:rPr>
                <w:rFonts w:ascii="Times New Roman" w:hAnsi="Times New Roman"/>
                <w:sz w:val="22"/>
                <w:szCs w:val="22"/>
              </w:rPr>
              <w:t>901 2 02 49999 04 0000 150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rPr>
            </w:pPr>
            <w:r>
              <w:rPr>
                <w:rFonts w:ascii="Times New Roman" w:hAnsi="Times New Roman"/>
              </w:rPr>
              <w:t>Прочие межбюджетные трансферты, передаваемые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3 100,0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5 665,9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5 452,2</w:t>
            </w:r>
          </w:p>
        </w:tc>
      </w:tr>
      <w:tr>
        <w:trPr>
          <w:trHeight w:val="171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901 2 02 49999 04 0000 150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Прочие межбюджетные трансферты, передаваемые бюджетам городских округов (на обеспечение фондов оплаты труда работников органов местного самоуправления и работников муниципальных учреждений, за исключением работников, заработная плата которых определяется в соответствии с указами Президента Российской Федерации)</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219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901 2 02 49999 04 0000 150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Иной межбюджетный трансферт на обеспечение отдыха отдельных категорий детей, проживающих на территории Свердловской области, в организациях отдыха детей и их оздоровления, расположенных на побережье Черного моря</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808,7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57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99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901 2 02 49999 04 0000 150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rPr>
            </w:pPr>
            <w:r>
              <w:rPr>
                <w:rFonts w:ascii="Times New Roman" w:hAnsi="Times New Roman"/>
                <w:color w:val="000000"/>
              </w:rPr>
              <w:t>Иной межбюджетный трансферт для выплаты поощрения лицам, участвующих в организации особо значимых общественных мероприятий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351,7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01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sz w:val="22"/>
                <w:szCs w:val="22"/>
              </w:rPr>
            </w:pPr>
            <w:r>
              <w:rPr>
                <w:rFonts w:ascii="Times New Roman" w:hAnsi="Times New Roman"/>
                <w:color w:val="000000"/>
                <w:sz w:val="22"/>
                <w:szCs w:val="22"/>
              </w:rPr>
              <w:t>901 2 02 45050 04 0000 150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rPr>
            </w:pPr>
            <w:r>
              <w:rPr>
                <w:rFonts w:ascii="Times New Roman" w:hAnsi="Times New Roman"/>
                <w:color w:val="000000"/>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89,9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309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901 2 02 45179 04 0000 150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rPr>
            </w:pPr>
            <w:r>
              <w:rPr>
                <w:rFonts w:ascii="Times New Roman" w:hAnsi="Times New Roman"/>
                <w:color w:val="000000"/>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339,7</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71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102</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sz w:val="22"/>
                <w:szCs w:val="22"/>
              </w:rPr>
            </w:pPr>
            <w:r>
              <w:rPr>
                <w:rFonts w:ascii="Times New Roman" w:hAnsi="Times New Roman"/>
                <w:b/>
                <w:sz w:val="22"/>
                <w:szCs w:val="22"/>
              </w:rPr>
              <w:t>000 2 18 00000 00 0000 150</w:t>
            </w:r>
          </w:p>
        </w:tc>
        <w:tc>
          <w:tcPr>
            <w:tcW w:w="3371" w:type="dxa"/>
            <w:tcBorders>
              <w:top w:val="single" w:sz="4" w:space="0" w:color="000000"/>
              <w:start w:val="single" w:sz="4" w:space="0" w:color="000000"/>
              <w:bottom w:val="single" w:sz="4" w:space="0" w:color="000000"/>
              <w:end w:val="single" w:sz="4" w:space="0" w:color="000000"/>
            </w:tcBorders>
            <w:vAlign w:val="bottom"/>
          </w:tcPr>
          <w:p>
            <w:pPr>
              <w:pStyle w:val="Style20"/>
              <w:widowControl w:val="false"/>
              <w:jc w:val="both"/>
              <w:rPr>
                <w:rFonts w:ascii="Times New Roman" w:hAnsi="Times New Roman"/>
                <w:b/>
                <w:b/>
              </w:rPr>
            </w:pPr>
            <w:r>
              <w:rPr>
                <w:rFonts w:ascii="Times New Roman" w:hAnsi="Times New Roman"/>
                <w:b/>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7 908,8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r>
      <w:tr>
        <w:trPr>
          <w:trHeight w:val="1277"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103</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901 2 18 04010 04 0000 150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Доходы бюджетов городских округов от возврата бюджетными учреждениями остатков субсидий прошлых лет</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7 908,8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69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104</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sz w:val="22"/>
                <w:szCs w:val="22"/>
              </w:rPr>
            </w:pPr>
            <w:r>
              <w:rPr>
                <w:rFonts w:ascii="Times New Roman" w:hAnsi="Times New Roman"/>
                <w:b/>
                <w:sz w:val="22"/>
                <w:szCs w:val="22"/>
              </w:rPr>
              <w:t>000 2 19 00000 00 0000 150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b/>
                <w:b/>
              </w:rPr>
            </w:pPr>
            <w:r>
              <w:rPr>
                <w:rFonts w:ascii="Times New Roman" w:hAnsi="Times New Roman"/>
                <w:b/>
              </w:rPr>
              <w:t>Возврат остатков субсидий, субвенций и иных межбюджетных трансфертов, имеющих целевое назначение, прошлых лет</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-8 536,1</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0,0</w:t>
            </w:r>
          </w:p>
        </w:tc>
      </w:tr>
      <w:tr>
        <w:trPr>
          <w:trHeight w:val="938"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105</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901 2 19 25304 04 0000 150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-3 672,30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534"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106</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901 2 19 35250 04 0000 150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Возврат остатков субвенций на оплату жилищно-коммунальных услуг отдельным категориям граждан из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-1,70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975"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107</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color w:val="000000"/>
                <w:sz w:val="22"/>
                <w:szCs w:val="22"/>
              </w:rPr>
            </w:pPr>
            <w:r>
              <w:rPr>
                <w:rFonts w:ascii="Times New Roman" w:hAnsi="Times New Roman"/>
                <w:color w:val="000000"/>
                <w:sz w:val="22"/>
                <w:szCs w:val="22"/>
              </w:rPr>
              <w:t>901 2 19 45179 04 0000 150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color w:val="000000"/>
              </w:rPr>
            </w:pPr>
            <w:r>
              <w:rPr>
                <w:rFonts w:ascii="Times New Roman" w:hAnsi="Times New Roman"/>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-52,80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71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108</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901 2 19 45050 04 0000 150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из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-7,8</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3353"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109</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901 2 19 45303 04 0000 150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color w:val="000000"/>
              </w:rPr>
            </w:pPr>
            <w:r>
              <w:rPr>
                <w:rFonts w:ascii="Times New Roman" w:hAnsi="Times New Roman"/>
                <w:color w:val="000000"/>
              </w:rPr>
              <w:t>-302,60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1742"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110</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sz w:val="22"/>
                <w:szCs w:val="22"/>
              </w:rPr>
            </w:pPr>
            <w:r>
              <w:rPr>
                <w:rFonts w:ascii="Times New Roman" w:hAnsi="Times New Roman"/>
                <w:sz w:val="22"/>
                <w:szCs w:val="22"/>
              </w:rPr>
              <w:t>901 2 19 60010 04 0000 150</w:t>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both"/>
              <w:rPr>
                <w:rFonts w:ascii="Times New Roman" w:hAnsi="Times New Roman"/>
              </w:rPr>
            </w:pPr>
            <w:r>
              <w:rPr>
                <w:rFonts w:ascii="Times New Roman" w:hAnsi="Times New Roman"/>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-4 498,9</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0,0</w:t>
            </w:r>
          </w:p>
        </w:tc>
      </w:tr>
      <w:tr>
        <w:trPr>
          <w:trHeight w:val="450" w:hRule="atLeast"/>
        </w:trPr>
        <w:tc>
          <w:tcPr>
            <w:tcW w:w="740"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rPr>
            </w:pPr>
            <w:r>
              <w:rPr>
                <w:rFonts w:ascii="Times New Roman" w:hAnsi="Times New Roman"/>
              </w:rPr>
              <w:t>111</w:t>
            </w:r>
          </w:p>
        </w:tc>
        <w:tc>
          <w:tcPr>
            <w:tcW w:w="2612" w:type="dxa"/>
            <w:tcBorders>
              <w:top w:val="single" w:sz="4" w:space="0" w:color="000000"/>
              <w:start w:val="single" w:sz="4" w:space="0" w:color="000000"/>
              <w:bottom w:val="single" w:sz="4" w:space="0" w:color="000000"/>
              <w:end w:val="single" w:sz="4" w:space="0" w:color="000000"/>
            </w:tcBorders>
          </w:tcPr>
          <w:p>
            <w:pPr>
              <w:pStyle w:val="Style20"/>
              <w:widowControl w:val="false"/>
              <w:rPr>
                <w:rFonts w:ascii="Times New Roman" w:hAnsi="Times New Roman"/>
                <w:b/>
                <w:b/>
                <w:sz w:val="22"/>
                <w:szCs w:val="22"/>
              </w:rPr>
            </w:pPr>
            <w:r>
              <w:rPr>
                <w:rFonts w:ascii="Times New Roman" w:hAnsi="Times New Roman"/>
                <w:b/>
                <w:sz w:val="22"/>
                <w:szCs w:val="22"/>
              </w:rPr>
            </w:r>
          </w:p>
        </w:tc>
        <w:tc>
          <w:tcPr>
            <w:tcW w:w="3371" w:type="dxa"/>
            <w:tcBorders>
              <w:top w:val="single" w:sz="4" w:space="0" w:color="000000"/>
              <w:start w:val="single" w:sz="4" w:space="0" w:color="000000"/>
              <w:bottom w:val="single" w:sz="4" w:space="0" w:color="000000"/>
              <w:end w:val="single" w:sz="4" w:space="0" w:color="000000"/>
            </w:tcBorders>
          </w:tcPr>
          <w:p>
            <w:pPr>
              <w:pStyle w:val="Style20"/>
              <w:widowControl w:val="false"/>
              <w:jc w:val="start"/>
              <w:rPr>
                <w:rFonts w:ascii="Times New Roman" w:hAnsi="Times New Roman"/>
                <w:b/>
                <w:b/>
              </w:rPr>
            </w:pPr>
            <w:r>
              <w:rPr>
                <w:rFonts w:ascii="Times New Roman" w:hAnsi="Times New Roman"/>
                <w:b/>
              </w:rPr>
              <w:t>ИТОГО ДОХОДОВ</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98</w:t>
            </w:r>
            <w:r>
              <w:rPr>
                <w:rFonts w:ascii="Times New Roman" w:hAnsi="Times New Roman"/>
                <w:b/>
              </w:rPr>
              <w:t>4</w:t>
            </w:r>
            <w:r>
              <w:rPr>
                <w:rFonts w:ascii="Times New Roman" w:hAnsi="Times New Roman"/>
                <w:b/>
              </w:rPr>
              <w:t> </w:t>
            </w:r>
            <w:r>
              <w:rPr>
                <w:rFonts w:ascii="Times New Roman" w:hAnsi="Times New Roman"/>
                <w:b/>
              </w:rPr>
              <w:t>335,0</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829 387,5</w:t>
            </w:r>
          </w:p>
        </w:tc>
        <w:tc>
          <w:tcPr>
            <w:tcW w:w="1264" w:type="dxa"/>
            <w:tcBorders>
              <w:top w:val="single" w:sz="4" w:space="0" w:color="000000"/>
              <w:start w:val="single" w:sz="4" w:space="0" w:color="000000"/>
              <w:bottom w:val="single" w:sz="4" w:space="0" w:color="000000"/>
              <w:end w:val="single" w:sz="4" w:space="0" w:color="000000"/>
            </w:tcBorders>
          </w:tcPr>
          <w:p>
            <w:pPr>
              <w:pStyle w:val="Style20"/>
              <w:widowControl w:val="false"/>
              <w:jc w:val="center"/>
              <w:rPr>
                <w:rFonts w:ascii="Times New Roman" w:hAnsi="Times New Roman"/>
                <w:b/>
                <w:b/>
              </w:rPr>
            </w:pPr>
            <w:r>
              <w:rPr>
                <w:rFonts w:ascii="Times New Roman" w:hAnsi="Times New Roman"/>
                <w:b/>
              </w:rPr>
              <w:t>838 897,5</w:t>
            </w:r>
          </w:p>
        </w:tc>
      </w:tr>
    </w:tbl>
    <w:p>
      <w:pPr>
        <w:pStyle w:val="Normal"/>
        <w:rPr/>
      </w:pPr>
      <w:r>
        <w:rPr/>
      </w:r>
    </w:p>
    <w:p>
      <w:pPr>
        <w:pStyle w:val="Normal"/>
        <w:rPr/>
      </w:pPr>
      <w:r>
        <w:rPr/>
      </w:r>
    </w:p>
    <w:sectPr>
      <w:type w:val="nextPage"/>
      <w:pgSz w:w="11906" w:h="16838"/>
      <w:pgMar w:left="1134" w:right="347" w:gutter="0" w:header="0" w:top="1134" w:footer="0" w:bottom="1134"/>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cc" w:characterSet="windows-1251"/>
    <w:family w:val="roman"/>
    <w:pitch w:val="variable"/>
  </w:font>
  <w:font w:name="Liberation Sans">
    <w:altName w:val="Arial"/>
    <w:charset w:val="cc" w:characterSet="windows-1251"/>
    <w:family w:val="roman"/>
    <w:pitch w:val="variable"/>
  </w:font>
  <w:font w:name="Times New Roman">
    <w:charset w:val="cc" w:characterSet="windows-1251"/>
    <w:family w:val="roman"/>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ru-RU" w:eastAsia="zh-CN" w:bidi="hi-IN"/>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lang w:val="zxx" w:eastAsia="zxx" w:bidi="zxx"/>
    </w:rPr>
  </w:style>
  <w:style w:type="paragraph" w:styleId="Style19">
    <w:name w:val="Title"/>
    <w:basedOn w:val="Normal"/>
    <w:next w:val="Style15"/>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rPr>
  </w:style>
  <w:style w:type="paragraph" w:styleId="Indexheading">
    <w:name w:val="index heading"/>
    <w:basedOn w:val="Normal"/>
    <w:qFormat/>
    <w:pPr>
      <w:suppressLineNumbers/>
    </w:pPr>
    <w:rPr/>
  </w:style>
  <w:style w:type="paragraph" w:styleId="Style20">
    <w:name w:val="Содержимое таблицы"/>
    <w:basedOn w:val="Normal"/>
    <w:qFormat/>
    <w:pPr>
      <w:widowControl w:val="false"/>
      <w:suppressLineNumbers/>
    </w:pPr>
    <w:rPr/>
  </w:style>
  <w:style w:type="paragraph" w:styleId="Style21">
    <w:name w:val="Заголовок таблицы"/>
    <w:basedOn w:val="Style20"/>
    <w:qFormat/>
    <w:pPr>
      <w:suppressLineNumbers/>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Application>LibreOffice/7.4.2.3$Windows_X86_64 LibreOffice_project/382eef1f22670f7f4118c8c2dd222ec7ad009daf</Application>
  <AppVersion>15.0000</AppVersion>
  <Pages>19</Pages>
  <Words>3748</Words>
  <Characters>22784</Characters>
  <CharactersWithSpaces>25848</CharactersWithSpaces>
  <Paragraphs>688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2025-03-24T16:10:06Z</dcterms:created>
  <dc:creator/>
  <dc:description/>
  <dc:language>ru-RU</dc:language>
  <cp:lastModifiedBy/>
  <dcterms:modified xsi:type="dcterms:W3CDTF">2025-10-24T15:55:54Z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